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7C7" w:rsidRPr="00F0459C" w:rsidRDefault="008C5E20">
      <w:pPr>
        <w:rPr>
          <w:b/>
        </w:rPr>
      </w:pPr>
      <w:r w:rsidRPr="00F0459C">
        <w:rPr>
          <w:b/>
        </w:rPr>
        <w:t xml:space="preserve">Celebrating </w:t>
      </w:r>
      <w:r w:rsidR="00E467C7" w:rsidRPr="00F0459C">
        <w:rPr>
          <w:b/>
        </w:rPr>
        <w:t>Priscilla Wakefield</w:t>
      </w:r>
      <w:r w:rsidR="00F0459C">
        <w:rPr>
          <w:b/>
        </w:rPr>
        <w:t xml:space="preserve">: </w:t>
      </w:r>
      <w:r w:rsidR="00E467C7" w:rsidRPr="00F0459C">
        <w:rPr>
          <w:b/>
        </w:rPr>
        <w:t xml:space="preserve">financial inclusion heroine and forgotten Feminist Economist </w:t>
      </w:r>
    </w:p>
    <w:p w:rsidR="00F0459C" w:rsidRDefault="005E18AA">
      <w:r>
        <w:t>Susan Johnson 9</w:t>
      </w:r>
      <w:r w:rsidRPr="005E18AA">
        <w:rPr>
          <w:vertAlign w:val="superscript"/>
        </w:rPr>
        <w:t>t</w:t>
      </w:r>
      <w:r>
        <w:rPr>
          <w:vertAlign w:val="superscript"/>
        </w:rPr>
        <w:t xml:space="preserve">h </w:t>
      </w:r>
      <w:r>
        <w:t>November 2018</w:t>
      </w:r>
    </w:p>
    <w:p w:rsidR="00E467C7" w:rsidRDefault="00BB4694">
      <w:r>
        <w:t xml:space="preserve">Priscilla Wakefield </w:t>
      </w:r>
      <w:r w:rsidR="000A63E7">
        <w:t xml:space="preserve"> - the “Mother of </w:t>
      </w:r>
      <w:proofErr w:type="spellStart"/>
      <w:r w:rsidR="000A63E7">
        <w:t>Microsavings</w:t>
      </w:r>
      <w:proofErr w:type="spellEnd"/>
      <w:r w:rsidR="000A63E7">
        <w:t>”</w:t>
      </w:r>
      <w:r w:rsidR="00E94B93">
        <w:rPr>
          <w:rStyle w:val="EndnoteReference"/>
        </w:rPr>
        <w:endnoteReference w:id="1"/>
      </w:r>
      <w:r w:rsidR="000A63E7">
        <w:t xml:space="preserve"> - is credited as being the founder of savings banks</w:t>
      </w:r>
      <w:r w:rsidR="000A63E7">
        <w:rPr>
          <w:rStyle w:val="EndnoteReference"/>
        </w:rPr>
        <w:endnoteReference w:id="2"/>
      </w:r>
      <w:r w:rsidR="000A63E7">
        <w:t>.  She was a Quaker</w:t>
      </w:r>
      <w:r w:rsidR="005D5945" w:rsidRPr="005D5945">
        <w:t xml:space="preserve"> </w:t>
      </w:r>
      <w:r w:rsidR="005D5945">
        <w:t>from Tottenham, North London</w:t>
      </w:r>
      <w:r w:rsidR="002C66A6">
        <w:t xml:space="preserve">, and </w:t>
      </w:r>
      <w:r w:rsidR="005D5945">
        <w:t xml:space="preserve">from the </w:t>
      </w:r>
      <w:r w:rsidR="002C66A6">
        <w:t xml:space="preserve">Barclays </w:t>
      </w:r>
      <w:r w:rsidR="005D5945">
        <w:t>family of banking fame</w:t>
      </w:r>
      <w:r w:rsidR="00B24DD4">
        <w:t>.  O</w:t>
      </w:r>
      <w:r w:rsidR="003E7655">
        <w:t>n 22</w:t>
      </w:r>
      <w:r w:rsidR="003E7655" w:rsidRPr="003E7655">
        <w:rPr>
          <w:vertAlign w:val="superscript"/>
        </w:rPr>
        <w:t>nd</w:t>
      </w:r>
      <w:r w:rsidR="003E7655">
        <w:t xml:space="preserve"> October </w:t>
      </w:r>
      <w:r w:rsidR="00E467C7">
        <w:t xml:space="preserve">I had the pleasure of joining citizens and activists to celebrate </w:t>
      </w:r>
      <w:r>
        <w:t>her achievements</w:t>
      </w:r>
      <w:r w:rsidR="00AE7E25">
        <w:t xml:space="preserve"> and unveil a new plaque in her honour.  This was, t</w:t>
      </w:r>
      <w:r w:rsidR="00EB1099">
        <w:t>o</w:t>
      </w:r>
      <w:r w:rsidR="001E09EA">
        <w:t xml:space="preserve"> the day, </w:t>
      </w:r>
      <w:r w:rsidR="00A956FF">
        <w:t xml:space="preserve">the </w:t>
      </w:r>
      <w:r w:rsidR="00E467C7">
        <w:t>220</w:t>
      </w:r>
      <w:r w:rsidR="00E467C7" w:rsidRPr="00E467C7">
        <w:rPr>
          <w:vertAlign w:val="superscript"/>
        </w:rPr>
        <w:t>th</w:t>
      </w:r>
      <w:r w:rsidR="00E467C7">
        <w:t xml:space="preserve"> anniversary of the founding of the Tottenham Benefit society for </w:t>
      </w:r>
      <w:r w:rsidR="0049225A">
        <w:t>W</w:t>
      </w:r>
      <w:r w:rsidR="00E467C7">
        <w:t xml:space="preserve">omen and </w:t>
      </w:r>
      <w:r w:rsidR="0049225A">
        <w:t>C</w:t>
      </w:r>
      <w:r w:rsidR="00E467C7">
        <w:t>hildren</w:t>
      </w:r>
      <w:r w:rsidR="00A956FF">
        <w:t>, and she subsequently founded Tottenham Savings Bank in 180</w:t>
      </w:r>
      <w:r w:rsidR="00D70A4B">
        <w:t>4.</w:t>
      </w:r>
      <w:r w:rsidR="0049225A">
        <w:t xml:space="preserve">  </w:t>
      </w:r>
      <w:r w:rsidR="002D0E6A">
        <w:t>H</w:t>
      </w:r>
      <w:r w:rsidR="00F0459C">
        <w:t xml:space="preserve">er philanthropic </w:t>
      </w:r>
      <w:r w:rsidR="0049225A">
        <w:t xml:space="preserve">initiatives </w:t>
      </w:r>
      <w:r w:rsidR="00F0459C">
        <w:t xml:space="preserve">also included </w:t>
      </w:r>
      <w:r w:rsidR="00E467C7">
        <w:t>a School for Industry for girls</w:t>
      </w:r>
      <w:r w:rsidR="0049225A">
        <w:t xml:space="preserve">, a “Lying-in” charity for women </w:t>
      </w:r>
      <w:r w:rsidR="00F0459C">
        <w:t>(</w:t>
      </w:r>
      <w:r w:rsidR="0049225A">
        <w:t>i</w:t>
      </w:r>
      <w:r w:rsidR="00F0459C">
        <w:t>.</w:t>
      </w:r>
      <w:r w:rsidR="0049225A">
        <w:t>e</w:t>
      </w:r>
      <w:r w:rsidR="00F0459C">
        <w:t>.</w:t>
      </w:r>
      <w:r w:rsidR="0049225A">
        <w:t xml:space="preserve"> </w:t>
      </w:r>
      <w:r w:rsidR="009633AB">
        <w:t xml:space="preserve">offering </w:t>
      </w:r>
      <w:r w:rsidR="0049225A">
        <w:t xml:space="preserve">maternity </w:t>
      </w:r>
      <w:r w:rsidR="009633AB">
        <w:t>support</w:t>
      </w:r>
      <w:r w:rsidR="00F0459C">
        <w:t>)</w:t>
      </w:r>
      <w:r w:rsidR="00E467C7">
        <w:t xml:space="preserve">, </w:t>
      </w:r>
      <w:r w:rsidR="0049225A">
        <w:t xml:space="preserve">and </w:t>
      </w:r>
      <w:r w:rsidR="00F0459C">
        <w:t xml:space="preserve">she </w:t>
      </w:r>
      <w:r w:rsidR="0049225A">
        <w:t xml:space="preserve">wrote </w:t>
      </w:r>
      <w:r w:rsidR="00E467C7">
        <w:t xml:space="preserve">many educational books for children which were </w:t>
      </w:r>
      <w:r w:rsidR="003E7655">
        <w:t>very popular</w:t>
      </w:r>
      <w:r w:rsidR="00F0459C">
        <w:t>.</w:t>
      </w:r>
      <w:r w:rsidR="00F0459C">
        <w:rPr>
          <w:rStyle w:val="EndnoteReference"/>
        </w:rPr>
        <w:endnoteReference w:id="3"/>
      </w:r>
      <w:r w:rsidR="00F0459C">
        <w:t xml:space="preserve"> </w:t>
      </w:r>
      <w:r w:rsidR="003E7655">
        <w:t xml:space="preserve"> </w:t>
      </w:r>
    </w:p>
    <w:p w:rsidR="00E467C7" w:rsidRDefault="002D0E6A" w:rsidP="002D0E6A">
      <w:r>
        <w:t xml:space="preserve">Her journey from the Benefit Society to the Savings Bank is a micro prefiguring of the learning journey of the microfinance sector some 200 years later. </w:t>
      </w:r>
      <w:r w:rsidR="00E467C7">
        <w:t>The Benefit Society offered savings services to women and children, along with loans, and intended to offer pensions too as well as funeral insurance.  Clearly an ambitious agenda for such a small</w:t>
      </w:r>
      <w:r w:rsidR="00BB4694">
        <w:t xml:space="preserve"> organisation</w:t>
      </w:r>
      <w:r w:rsidR="00E467C7">
        <w:t xml:space="preserve">.   </w:t>
      </w:r>
      <w:r w:rsidR="00F0459C">
        <w:t>She recognised that for poor people it was easier to save</w:t>
      </w:r>
      <w:r w:rsidR="00A956FF">
        <w:t xml:space="preserve"> in small amounts:</w:t>
      </w:r>
      <w:r w:rsidR="00661BF6">
        <w:t xml:space="preserve"> “</w:t>
      </w:r>
      <w:r w:rsidR="00A956FF" w:rsidRPr="00A956FF">
        <w:t>it is much easier to spare a small sum at stated periods, than to lay down what is sufficient for either purpose at once</w:t>
      </w:r>
      <w:r w:rsidR="00A956FF">
        <w:t>”</w:t>
      </w:r>
      <w:r w:rsidR="00A9646E">
        <w:rPr>
          <w:rStyle w:val="EndnoteReference"/>
        </w:rPr>
        <w:endnoteReference w:id="4"/>
      </w:r>
      <w:r w:rsidR="00A956FF">
        <w:t xml:space="preserve">, and that it was </w:t>
      </w:r>
      <w:r w:rsidR="00F0459C">
        <w:t xml:space="preserve">hard </w:t>
      </w:r>
      <w:r w:rsidR="00A956FF">
        <w:t xml:space="preserve">for poor people to </w:t>
      </w:r>
      <w:r w:rsidR="00F0459C">
        <w:t xml:space="preserve">find a safe place to </w:t>
      </w:r>
      <w:r w:rsidR="00A956FF">
        <w:t xml:space="preserve">physically put their savings. </w:t>
      </w:r>
      <w:r w:rsidR="00F0459C">
        <w:t xml:space="preserve">Expanding </w:t>
      </w:r>
      <w:r w:rsidR="003E7655">
        <w:t xml:space="preserve">to </w:t>
      </w:r>
      <w:r w:rsidR="00F0459C">
        <w:t xml:space="preserve">the </w:t>
      </w:r>
      <w:r w:rsidR="003E7655">
        <w:t xml:space="preserve">Tottenham Savings Bank </w:t>
      </w:r>
      <w:r w:rsidR="000C42DE">
        <w:t xml:space="preserve">expanded the savings service from women and children to include </w:t>
      </w:r>
      <w:r w:rsidR="00792F68">
        <w:t>men</w:t>
      </w:r>
      <w:r w:rsidR="000C42DE">
        <w:t xml:space="preserve">.  ‘Safety’ for the savings was provided by </w:t>
      </w:r>
      <w:r w:rsidR="00F0459C">
        <w:t xml:space="preserve">Trustees </w:t>
      </w:r>
      <w:r w:rsidR="00792F68">
        <w:t>hold</w:t>
      </w:r>
      <w:r w:rsidR="000C42DE">
        <w:t>ing</w:t>
      </w:r>
      <w:r w:rsidR="00792F68">
        <w:t xml:space="preserve"> up to £100</w:t>
      </w:r>
      <w:r w:rsidR="000C42DE">
        <w:t xml:space="preserve"> each</w:t>
      </w:r>
      <w:r w:rsidR="00792F68">
        <w:t xml:space="preserve">.  These </w:t>
      </w:r>
      <w:r w:rsidR="00E467C7">
        <w:t xml:space="preserve">savings </w:t>
      </w:r>
      <w:r w:rsidR="003E7655">
        <w:t xml:space="preserve">were </w:t>
      </w:r>
      <w:r w:rsidR="00E467C7">
        <w:t xml:space="preserve">invested in government </w:t>
      </w:r>
      <w:r w:rsidR="000A63E7">
        <w:t>bonds</w:t>
      </w:r>
      <w:r w:rsidR="00E467C7">
        <w:t xml:space="preserve"> offering a 5% return</w:t>
      </w:r>
      <w:r w:rsidR="0054097B">
        <w:t xml:space="preserve"> which meant that poor </w:t>
      </w:r>
      <w:proofErr w:type="gramStart"/>
      <w:r w:rsidR="0054097B">
        <w:t xml:space="preserve">savers </w:t>
      </w:r>
      <w:r w:rsidR="00BB3EC0">
        <w:t xml:space="preserve"> </w:t>
      </w:r>
      <w:r w:rsidR="0054097B">
        <w:t>received</w:t>
      </w:r>
      <w:proofErr w:type="gramEnd"/>
      <w:r w:rsidR="0054097B">
        <w:t xml:space="preserve"> interest – a benefit that had previously only been available to the wealthy</w:t>
      </w:r>
      <w:r w:rsidR="00F0459C">
        <w:t xml:space="preserve">.  These </w:t>
      </w:r>
      <w:r w:rsidR="00792F68">
        <w:t xml:space="preserve">developments </w:t>
      </w:r>
      <w:r w:rsidR="00F0459C">
        <w:t>were therefore</w:t>
      </w:r>
      <w:r w:rsidR="00E467C7">
        <w:t xml:space="preserve"> step</w:t>
      </w:r>
      <w:r w:rsidR="00F0459C">
        <w:t>s</w:t>
      </w:r>
      <w:r w:rsidR="00E467C7">
        <w:t xml:space="preserve"> </w:t>
      </w:r>
      <w:r w:rsidR="00792F68">
        <w:t xml:space="preserve">to expanding from an initially </w:t>
      </w:r>
      <w:r w:rsidR="00661BF6">
        <w:t xml:space="preserve">more </w:t>
      </w:r>
      <w:r w:rsidR="00792F68">
        <w:t xml:space="preserve">aid based model to one that had </w:t>
      </w:r>
      <w:r w:rsidR="00661BF6">
        <w:t xml:space="preserve">greater </w:t>
      </w:r>
      <w:r>
        <w:t>sustainab</w:t>
      </w:r>
      <w:r w:rsidR="00661BF6">
        <w:t>ility</w:t>
      </w:r>
      <w:r>
        <w:t xml:space="preserve">, </w:t>
      </w:r>
      <w:r w:rsidR="00661BF6">
        <w:t xml:space="preserve">was more </w:t>
      </w:r>
      <w:r w:rsidRPr="00EB1099">
        <w:t>inclusive</w:t>
      </w:r>
      <w:r>
        <w:t xml:space="preserve">, </w:t>
      </w:r>
      <w:r w:rsidR="00661BF6">
        <w:t xml:space="preserve">was </w:t>
      </w:r>
      <w:r>
        <w:t xml:space="preserve">savings led and </w:t>
      </w:r>
      <w:r w:rsidR="00661BF6">
        <w:t xml:space="preserve">seeking to offer </w:t>
      </w:r>
      <w:r>
        <w:t>a wide range of financial services.</w:t>
      </w:r>
    </w:p>
    <w:p w:rsidR="00E467C7" w:rsidRDefault="00E467C7" w:rsidP="00E467C7">
      <w:r>
        <w:t xml:space="preserve">In the arena of microfinance her legacy has been </w:t>
      </w:r>
      <w:r w:rsidR="00661BF6">
        <w:t xml:space="preserve">noted if not widely </w:t>
      </w:r>
      <w:r>
        <w:t>celebrated</w:t>
      </w:r>
      <w:r w:rsidR="005C1E2F">
        <w:rPr>
          <w:rStyle w:val="EndnoteReference"/>
        </w:rPr>
        <w:endnoteReference w:id="5"/>
      </w:r>
      <w:r>
        <w:t xml:space="preserve"> and other writing has attributed her </w:t>
      </w:r>
      <w:r w:rsidR="00BB3EC0">
        <w:t xml:space="preserve">initiative </w:t>
      </w:r>
      <w:r w:rsidR="00661BF6">
        <w:t xml:space="preserve">as contributing </w:t>
      </w:r>
      <w:r w:rsidR="00BE1C9C">
        <w:t>to H</w:t>
      </w:r>
      <w:r>
        <w:t>enry Duncan</w:t>
      </w:r>
      <w:r w:rsidR="00661BF6">
        <w:t>’s inspiration</w:t>
      </w:r>
      <w:r>
        <w:t xml:space="preserve"> to es</w:t>
      </w:r>
      <w:r w:rsidR="00BE1C9C">
        <w:t xml:space="preserve">tablish </w:t>
      </w:r>
      <w:r w:rsidR="00661BF6">
        <w:t xml:space="preserve">a saving bank </w:t>
      </w:r>
      <w:r w:rsidR="00BE1C9C">
        <w:t xml:space="preserve">in every district </w:t>
      </w:r>
      <w:r>
        <w:t>of Scotland</w:t>
      </w:r>
      <w:r w:rsidR="00BB3EC0">
        <w:t>.</w:t>
      </w:r>
      <w:r w:rsidR="00661BF6">
        <w:rPr>
          <w:rStyle w:val="EndnoteReference"/>
        </w:rPr>
        <w:endnoteReference w:id="6"/>
      </w:r>
      <w:r w:rsidR="00BE1C9C">
        <w:t xml:space="preserve"> </w:t>
      </w:r>
      <w:r w:rsidR="00BB3EC0">
        <w:t>That in turn</w:t>
      </w:r>
      <w:r w:rsidR="00661BF6">
        <w:t xml:space="preserve"> set </w:t>
      </w:r>
      <w:r w:rsidR="00BE1C9C">
        <w:t xml:space="preserve">off </w:t>
      </w:r>
      <w:r w:rsidR="00661BF6">
        <w:t xml:space="preserve">the </w:t>
      </w:r>
      <w:r w:rsidR="00BE1C9C">
        <w:t xml:space="preserve">journey towards financial inclusion in the UK and beyond.  </w:t>
      </w:r>
      <w:r w:rsidR="00E60649">
        <w:t xml:space="preserve">However, </w:t>
      </w:r>
      <w:proofErr w:type="gramStart"/>
      <w:r>
        <w:t>It</w:t>
      </w:r>
      <w:proofErr w:type="gramEnd"/>
      <w:r>
        <w:t xml:space="preserve"> took </w:t>
      </w:r>
      <w:r w:rsidR="003E7655">
        <w:t xml:space="preserve">more than </w:t>
      </w:r>
      <w:r>
        <w:t xml:space="preserve">30 years for the modern microfinance </w:t>
      </w:r>
      <w:r w:rsidR="003E7655">
        <w:t xml:space="preserve">sector </w:t>
      </w:r>
      <w:r>
        <w:t xml:space="preserve">to understand what Priscilla </w:t>
      </w:r>
      <w:r w:rsidR="00AD2D1A">
        <w:t xml:space="preserve">started to work </w:t>
      </w:r>
      <w:r>
        <w:t xml:space="preserve">out </w:t>
      </w:r>
      <w:r w:rsidR="003E7655">
        <w:t xml:space="preserve">in </w:t>
      </w:r>
      <w:r w:rsidR="00A43C54">
        <w:t>5</w:t>
      </w:r>
      <w:r w:rsidR="004B76F2">
        <w:t>!</w:t>
      </w:r>
      <w:r>
        <w:t xml:space="preserve"> </w:t>
      </w:r>
    </w:p>
    <w:p w:rsidR="003E7655" w:rsidRDefault="00661BF6" w:rsidP="003E7655">
      <w:r>
        <w:t>However</w:t>
      </w:r>
      <w:r w:rsidR="00CD377B">
        <w:t>, even l</w:t>
      </w:r>
      <w:r w:rsidR="00E467C7">
        <w:t>ess well known is her writing “Reflections</w:t>
      </w:r>
      <w:r w:rsidR="007C5639">
        <w:t xml:space="preserve"> on the Present Condition of the Female Sex with recommendations for their improvement</w:t>
      </w:r>
      <w:r w:rsidR="00E467C7">
        <w:t>”</w:t>
      </w:r>
      <w:r w:rsidR="007C5639">
        <w:t xml:space="preserve"> </w:t>
      </w:r>
      <w:r w:rsidR="00EB70FE">
        <w:t xml:space="preserve">also </w:t>
      </w:r>
      <w:r w:rsidR="007C5639">
        <w:t xml:space="preserve">in 1798. </w:t>
      </w:r>
      <w:r w:rsidR="00E467C7">
        <w:t xml:space="preserve">  </w:t>
      </w:r>
      <w:r w:rsidR="004F1D45">
        <w:t xml:space="preserve">This was a </w:t>
      </w:r>
      <w:r w:rsidR="003E7655">
        <w:t>response to Adam Smith’s Wealth of Nations</w:t>
      </w:r>
      <w:r>
        <w:t xml:space="preserve"> and his </w:t>
      </w:r>
      <w:r w:rsidR="007C5639">
        <w:t xml:space="preserve">assertion </w:t>
      </w:r>
      <w:r w:rsidR="003E7655">
        <w:t xml:space="preserve">that everyone is a burden </w:t>
      </w:r>
      <w:r w:rsidR="004F1D45">
        <w:t xml:space="preserve">on society </w:t>
      </w:r>
      <w:r w:rsidR="003E7655">
        <w:t>who does</w:t>
      </w:r>
      <w:r w:rsidR="007C5639">
        <w:t xml:space="preserve"> not </w:t>
      </w:r>
      <w:r w:rsidR="003E7655">
        <w:t xml:space="preserve">contribute </w:t>
      </w:r>
      <w:r w:rsidR="007C5639">
        <w:t>productive work</w:t>
      </w:r>
      <w:r>
        <w:t xml:space="preserve">.  </w:t>
      </w:r>
      <w:r w:rsidR="00CD1922">
        <w:t>Recognising that his terminology of “general terms of man” applied to both sexes, h</w:t>
      </w:r>
      <w:r w:rsidR="00C0565B">
        <w:t xml:space="preserve">er approach </w:t>
      </w:r>
      <w:r w:rsidR="00CD1922">
        <w:t>was</w:t>
      </w:r>
      <w:r w:rsidR="00C0565B">
        <w:t xml:space="preserve"> to deconstruct its analysis for </w:t>
      </w:r>
      <w:r w:rsidR="00CD1922">
        <w:t>its implications for women</w:t>
      </w:r>
      <w:r w:rsidR="00C0565B">
        <w:t xml:space="preserve">.  </w:t>
      </w:r>
      <w:r>
        <w:t>She</w:t>
      </w:r>
      <w:r w:rsidR="003E7655">
        <w:t xml:space="preserve"> </w:t>
      </w:r>
      <w:r w:rsidR="007C5639">
        <w:t>commences a discussion of the extent women are able to contribute</w:t>
      </w:r>
      <w:r w:rsidR="00C0565B">
        <w:t xml:space="preserve"> productive work</w:t>
      </w:r>
      <w:r w:rsidR="007C5639">
        <w:t xml:space="preserve">, particularly noting that the </w:t>
      </w:r>
      <w:r w:rsidR="003E7655">
        <w:t>upper classes do not</w:t>
      </w:r>
      <w:r w:rsidR="00C0565B">
        <w:t xml:space="preserve">, </w:t>
      </w:r>
      <w:r w:rsidR="007C5639">
        <w:t xml:space="preserve">as </w:t>
      </w:r>
      <w:r w:rsidR="003E7655">
        <w:t>they have “frivolous occupations”</w:t>
      </w:r>
      <w:r w:rsidR="00CD1922">
        <w:t>.</w:t>
      </w:r>
      <w:r w:rsidR="003E7655">
        <w:t xml:space="preserve"> </w:t>
      </w:r>
      <w:r w:rsidR="00CD1922">
        <w:t xml:space="preserve"> S</w:t>
      </w:r>
      <w:r w:rsidR="00CD377B">
        <w:t xml:space="preserve">he </w:t>
      </w:r>
      <w:r w:rsidR="003E7655">
        <w:t>points out the need for “an enquiry into the causes of their deficiency”</w:t>
      </w:r>
      <w:r>
        <w:t xml:space="preserve">, that is, to understand why they are not able to participate in </w:t>
      </w:r>
      <w:r w:rsidR="00C0565B">
        <w:t>the labour market</w:t>
      </w:r>
      <w:r w:rsidR="003E7655">
        <w:t>.  She challenge</w:t>
      </w:r>
      <w:r w:rsidR="00C0565B">
        <w:t>s</w:t>
      </w:r>
      <w:r w:rsidR="003E7655">
        <w:t xml:space="preserve"> the lack of education for women, and assert</w:t>
      </w:r>
      <w:r w:rsidR="00C0565B">
        <w:t>s</w:t>
      </w:r>
      <w:r w:rsidR="003E7655">
        <w:t xml:space="preserve"> that there are lots of jobs they could do while remaining within the </w:t>
      </w:r>
      <w:r>
        <w:t xml:space="preserve">social </w:t>
      </w:r>
      <w:r w:rsidR="003E7655">
        <w:t>norms</w:t>
      </w:r>
      <w:r w:rsidR="007C5639">
        <w:t xml:space="preserve"> of </w:t>
      </w:r>
      <w:r>
        <w:t xml:space="preserve">the </w:t>
      </w:r>
      <w:r w:rsidR="007C5639">
        <w:t>time</w:t>
      </w:r>
      <w:r w:rsidR="004F1D45">
        <w:t xml:space="preserve">: </w:t>
      </w:r>
      <w:r w:rsidR="007C5639">
        <w:t>“while not endangering their virtue or corrupting their manners”!  She</w:t>
      </w:r>
      <w:r w:rsidR="00654223">
        <w:t xml:space="preserve"> suggested th</w:t>
      </w:r>
      <w:r w:rsidR="007C5639">
        <w:t xml:space="preserve">at women </w:t>
      </w:r>
      <w:r w:rsidR="00654223">
        <w:t xml:space="preserve">could be teachers and serve in shops </w:t>
      </w:r>
      <w:r w:rsidR="00BB4694">
        <w:t>which serve women</w:t>
      </w:r>
      <w:r w:rsidR="003E7655">
        <w:t xml:space="preserve">.  She berates the fact that men are in these occupations and argues that they should move to other occupations and let women take these </w:t>
      </w:r>
      <w:r w:rsidR="007C5639">
        <w:t>jobs</w:t>
      </w:r>
      <w:r w:rsidR="003E7655">
        <w:t xml:space="preserve">.  She then goes on to berate the fact that when women do </w:t>
      </w:r>
      <w:proofErr w:type="spellStart"/>
      <w:r w:rsidR="003E7655">
        <w:t>do</w:t>
      </w:r>
      <w:proofErr w:type="spellEnd"/>
      <w:r w:rsidR="003E7655">
        <w:t xml:space="preserve"> the same jobs they get paid less.  Not much has changed!  </w:t>
      </w:r>
    </w:p>
    <w:p w:rsidR="00C0565B" w:rsidRDefault="00FA2A85" w:rsidP="00E467C7">
      <w:r>
        <w:lastRenderedPageBreak/>
        <w:t>At the end of the 18</w:t>
      </w:r>
      <w:r w:rsidRPr="00FA2A85">
        <w:rPr>
          <w:vertAlign w:val="superscript"/>
        </w:rPr>
        <w:t>th</w:t>
      </w:r>
      <w:r>
        <w:t xml:space="preserve"> century in the wake of the French Revolution her </w:t>
      </w:r>
      <w:r w:rsidR="00374EF3">
        <w:t xml:space="preserve">contribution </w:t>
      </w:r>
      <w:r>
        <w:t>was</w:t>
      </w:r>
      <w:r w:rsidR="00A30E8C">
        <w:t xml:space="preserve"> much </w:t>
      </w:r>
      <w:r w:rsidR="00374EF3">
        <w:t xml:space="preserve">overshadowed by </w:t>
      </w:r>
      <w:r w:rsidR="003E7655">
        <w:t xml:space="preserve">Mary Wollstonecraft’s Vindication of the Rights of Woman (1792) </w:t>
      </w:r>
      <w:r w:rsidR="00C0565B">
        <w:t xml:space="preserve">- </w:t>
      </w:r>
      <w:r w:rsidR="0042114C">
        <w:t xml:space="preserve">in </w:t>
      </w:r>
      <w:r w:rsidR="003E7655">
        <w:t xml:space="preserve">which </w:t>
      </w:r>
      <w:r w:rsidR="0042114C">
        <w:t xml:space="preserve">she also </w:t>
      </w:r>
      <w:r w:rsidR="003E7655">
        <w:t xml:space="preserve">argues that women only appear to be inferior because of their lack of education.  Wakefield clearly </w:t>
      </w:r>
      <w:r w:rsidR="00374EF3">
        <w:t>does not take a rights</w:t>
      </w:r>
      <w:r w:rsidR="00D219B5">
        <w:t>-</w:t>
      </w:r>
      <w:r w:rsidR="00374EF3">
        <w:t xml:space="preserve">based approach but does pick </w:t>
      </w:r>
      <w:r w:rsidR="003E7655">
        <w:t xml:space="preserve">up on this issue </w:t>
      </w:r>
      <w:r w:rsidR="003D1CAE">
        <w:t>of education</w:t>
      </w:r>
      <w:r w:rsidR="006D57E6">
        <w:t xml:space="preserve">.  </w:t>
      </w:r>
      <w:r>
        <w:t>With the concern to find ways to improve the lot of the poorer classes and avoid rebellion, m</w:t>
      </w:r>
      <w:r w:rsidR="006D57E6">
        <w:t xml:space="preserve">ore </w:t>
      </w:r>
      <w:r w:rsidR="00537502">
        <w:t xml:space="preserve">successful </w:t>
      </w:r>
      <w:r w:rsidR="006D57E6">
        <w:t xml:space="preserve">popular writing </w:t>
      </w:r>
      <w:r w:rsidR="00537502">
        <w:t xml:space="preserve">of the time </w:t>
      </w:r>
      <w:r w:rsidR="003D1CAE">
        <w:t>by women included Hannah More’s tracts which addressed the ways the lot of the poorer classes could be improved.</w:t>
      </w:r>
      <w:r>
        <w:rPr>
          <w:rStyle w:val="EndnoteReference"/>
        </w:rPr>
        <w:endnoteReference w:id="7"/>
      </w:r>
      <w:r w:rsidR="003D1CAE">
        <w:t xml:space="preserve"> </w:t>
      </w:r>
      <w:r w:rsidR="00D219B5">
        <w:t xml:space="preserve"> </w:t>
      </w:r>
    </w:p>
    <w:p w:rsidR="00BB4694" w:rsidRDefault="006D57E6" w:rsidP="00E467C7">
      <w:r>
        <w:t>Her concerns that women should be able to enter the workforce and contribute outside the household mirrors those o</w:t>
      </w:r>
      <w:r w:rsidR="00654223">
        <w:t xml:space="preserve">f Ester </w:t>
      </w:r>
      <w:proofErr w:type="spellStart"/>
      <w:r w:rsidR="00654223">
        <w:t>Boserup</w:t>
      </w:r>
      <w:proofErr w:type="spellEnd"/>
      <w:r w:rsidR="00654223">
        <w:t xml:space="preserve"> writing in 1970</w:t>
      </w:r>
      <w:r w:rsidR="008A4049">
        <w:t xml:space="preserve"> which set off analysis </w:t>
      </w:r>
      <w:r w:rsidR="002C7237">
        <w:t xml:space="preserve">of the </w:t>
      </w:r>
      <w:r>
        <w:t xml:space="preserve">division of labour </w:t>
      </w:r>
      <w:r w:rsidR="00654223">
        <w:t xml:space="preserve">between men and women </w:t>
      </w:r>
      <w:r>
        <w:t>in agricultur</w:t>
      </w:r>
      <w:r w:rsidR="00654223">
        <w:t xml:space="preserve">e </w:t>
      </w:r>
      <w:r>
        <w:t xml:space="preserve">in developing countries and </w:t>
      </w:r>
      <w:r w:rsidR="002C7237">
        <w:t xml:space="preserve">led to the Women in Development approach.   </w:t>
      </w:r>
      <w:proofErr w:type="gramStart"/>
      <w:r w:rsidR="002C7237">
        <w:t>This  -</w:t>
      </w:r>
      <w:proofErr w:type="gramEnd"/>
      <w:r w:rsidR="002C7237">
        <w:t xml:space="preserve"> similarly – to Wakefield, was concerned with women being able to participate in the labour market </w:t>
      </w:r>
      <w:r w:rsidR="00BF3F90">
        <w:t xml:space="preserve">and </w:t>
      </w:r>
      <w:r w:rsidR="002C7237">
        <w:t xml:space="preserve">explored </w:t>
      </w:r>
      <w:r w:rsidR="007A57D9">
        <w:t xml:space="preserve">how the sexual division of labour meant that </w:t>
      </w:r>
      <w:r w:rsidR="002C7237">
        <w:t>women did not.</w:t>
      </w:r>
      <w:r>
        <w:t xml:space="preserve">  </w:t>
      </w:r>
    </w:p>
    <w:p w:rsidR="00DB51E7" w:rsidRDefault="006D57E6" w:rsidP="00E467C7">
      <w:pPr>
        <w:rPr>
          <w:rFonts w:eastAsia="Times New Roman" w:cstheme="minorHAnsi"/>
          <w:lang w:eastAsia="en-GB"/>
        </w:rPr>
      </w:pPr>
      <w:r>
        <w:t xml:space="preserve">The founding text of modern feminist economics is widely regarded as Marilyn Waring’s </w:t>
      </w:r>
      <w:r w:rsidR="008A4049">
        <w:t>“</w:t>
      </w:r>
      <w:r>
        <w:t>If Women Counted</w:t>
      </w:r>
      <w:r w:rsidR="008A4049">
        <w:t>” (</w:t>
      </w:r>
      <w:r>
        <w:t>1988</w:t>
      </w:r>
      <w:r w:rsidR="008A4049">
        <w:t xml:space="preserve">) which </w:t>
      </w:r>
      <w:r w:rsidR="0042114C">
        <w:t xml:space="preserve">went beyond the concern for women to be able to participate in the labour market to critique </w:t>
      </w:r>
      <w:r w:rsidR="008A4049">
        <w:t xml:space="preserve">the way women’s unpaid work was not included in National Accounts.   </w:t>
      </w:r>
      <w:proofErr w:type="spellStart"/>
      <w:r w:rsidR="00F65F4D">
        <w:t>Dimand</w:t>
      </w:r>
      <w:proofErr w:type="spellEnd"/>
      <w:r w:rsidR="00F65F4D">
        <w:t xml:space="preserve"> argues</w:t>
      </w:r>
      <w:r w:rsidR="003B36B0">
        <w:rPr>
          <w:rStyle w:val="EndnoteReference"/>
        </w:rPr>
        <w:endnoteReference w:id="8"/>
      </w:r>
      <w:r w:rsidR="00F65F4D">
        <w:t xml:space="preserve"> that Wakefield </w:t>
      </w:r>
      <w:r w:rsidR="008E7075">
        <w:t>“</w:t>
      </w:r>
      <w:r w:rsidR="008E7075" w:rsidRPr="008E7075">
        <w:rPr>
          <w:rFonts w:eastAsia="Times New Roman" w:cstheme="minorHAnsi"/>
          <w:iCs/>
          <w:lang w:eastAsia="en-GB"/>
        </w:rPr>
        <w:t xml:space="preserve">took for granted that all useful labour was productive labour, and that the labour of women, whether within the household or in the market sphere, was useful and productive.”  </w:t>
      </w:r>
    </w:p>
    <w:p w:rsidR="009917CE" w:rsidRDefault="009917CE" w:rsidP="00E467C7">
      <w:r>
        <w:t>Her</w:t>
      </w:r>
      <w:r w:rsidR="00DB51E7">
        <w:t>s</w:t>
      </w:r>
      <w:r>
        <w:t xml:space="preserve"> </w:t>
      </w:r>
      <w:r w:rsidR="00A84311">
        <w:t>was a class-</w:t>
      </w:r>
      <w:r w:rsidR="008A4049">
        <w:t xml:space="preserve">based analysis and her </w:t>
      </w:r>
      <w:r>
        <w:t xml:space="preserve">concerns for women’s </w:t>
      </w:r>
      <w:r w:rsidR="00654223">
        <w:t xml:space="preserve">education and participation in the work force were mainly directed towards the upper classes </w:t>
      </w:r>
      <w:r w:rsidR="008A4049">
        <w:t xml:space="preserve">who she saw doing little of either household </w:t>
      </w:r>
      <w:r w:rsidR="00CD377B">
        <w:t xml:space="preserve">work in the home or </w:t>
      </w:r>
      <w:r w:rsidR="008A4049">
        <w:t>economic work outside</w:t>
      </w:r>
      <w:r w:rsidR="00CD377B">
        <w:t xml:space="preserve"> it</w:t>
      </w:r>
      <w:r w:rsidR="008A4049">
        <w:t>.  T</w:t>
      </w:r>
      <w:r w:rsidR="00654223">
        <w:t xml:space="preserve">he </w:t>
      </w:r>
      <w:r w:rsidR="00CD377B">
        <w:t>B</w:t>
      </w:r>
      <w:r w:rsidR="00654223">
        <w:t xml:space="preserve">enefit society and </w:t>
      </w:r>
      <w:r w:rsidR="00CD377B">
        <w:t>S</w:t>
      </w:r>
      <w:r w:rsidR="00654223">
        <w:t xml:space="preserve">avings </w:t>
      </w:r>
      <w:r w:rsidR="00CD377B">
        <w:t>B</w:t>
      </w:r>
      <w:r w:rsidR="00654223">
        <w:t xml:space="preserve">ank were directed towards the poorest.  </w:t>
      </w:r>
      <w:r w:rsidR="008A4049">
        <w:t xml:space="preserve">These two areas of concern therefore </w:t>
      </w:r>
      <w:r w:rsidR="00654223">
        <w:t xml:space="preserve">did not </w:t>
      </w:r>
      <w:r w:rsidR="008A4049">
        <w:t xml:space="preserve">so </w:t>
      </w:r>
      <w:r w:rsidR="00654223">
        <w:t xml:space="preserve">directly meet in her writings.  So what would </w:t>
      </w:r>
      <w:r w:rsidR="00CD377B">
        <w:t xml:space="preserve">might </w:t>
      </w:r>
      <w:r w:rsidR="00654223">
        <w:t xml:space="preserve">she have made of modern microfinance? </w:t>
      </w:r>
    </w:p>
    <w:p w:rsidR="00654223" w:rsidRDefault="00654223" w:rsidP="00E467C7">
      <w:r>
        <w:t xml:space="preserve">I suggest that her two main concerns in “Reflections” are </w:t>
      </w:r>
      <w:r w:rsidR="00D124C2">
        <w:t xml:space="preserve">similarly </w:t>
      </w:r>
      <w:r>
        <w:t xml:space="preserve">relevant to this field.  First, </w:t>
      </w:r>
      <w:r w:rsidR="004B76F2">
        <w:t>wh</w:t>
      </w:r>
      <w:r w:rsidR="00CD377B">
        <w:t>i</w:t>
      </w:r>
      <w:r w:rsidR="004B76F2">
        <w:t>le she would at first have been encouraged by the provision of microfinance to women, and the possibility for loans to be used to</w:t>
      </w:r>
      <w:r w:rsidR="00D219B5">
        <w:t xml:space="preserve"> </w:t>
      </w:r>
      <w:r w:rsidR="004B76F2">
        <w:rPr>
          <w:rFonts w:eastAsiaTheme="minorEastAsia" w:hAnsi="Calibri"/>
          <w:color w:val="000000" w:themeColor="text1"/>
          <w:kern w:val="24"/>
        </w:rPr>
        <w:t>“</w:t>
      </w:r>
      <w:r w:rsidR="004B76F2" w:rsidRPr="004B76F2">
        <w:rPr>
          <w:rFonts w:eastAsiaTheme="minorEastAsia" w:hAnsi="Calibri"/>
          <w:color w:val="000000" w:themeColor="text1"/>
          <w:kern w:val="24"/>
        </w:rPr>
        <w:t>supply themselves with materials for work, a pig or any other thing</w:t>
      </w:r>
      <w:r w:rsidR="004B76F2">
        <w:rPr>
          <w:rFonts w:eastAsiaTheme="minorEastAsia" w:hAnsi="Calibri"/>
          <w:color w:val="000000" w:themeColor="text1"/>
          <w:kern w:val="24"/>
        </w:rPr>
        <w:t>”</w:t>
      </w:r>
      <w:r w:rsidR="003552F7">
        <w:rPr>
          <w:rStyle w:val="EndnoteReference"/>
          <w:rFonts w:eastAsiaTheme="minorEastAsia" w:hAnsi="Calibri"/>
          <w:color w:val="000000" w:themeColor="text1"/>
          <w:kern w:val="24"/>
        </w:rPr>
        <w:endnoteReference w:id="9"/>
      </w:r>
      <w:r w:rsidR="00A84311">
        <w:rPr>
          <w:rFonts w:eastAsiaTheme="minorEastAsia" w:hAnsi="Calibri"/>
          <w:color w:val="000000" w:themeColor="text1"/>
          <w:kern w:val="24"/>
        </w:rPr>
        <w:t xml:space="preserve"> </w:t>
      </w:r>
      <w:r w:rsidR="000F450A">
        <w:rPr>
          <w:rFonts w:eastAsiaTheme="minorEastAsia" w:hAnsi="Calibri"/>
          <w:color w:val="000000" w:themeColor="text1"/>
          <w:kern w:val="24"/>
        </w:rPr>
        <w:t>in order to address their poverty</w:t>
      </w:r>
      <w:r w:rsidR="004B76F2">
        <w:rPr>
          <w:rFonts w:eastAsiaTheme="minorEastAsia" w:hAnsi="Calibri"/>
          <w:color w:val="000000" w:themeColor="text1"/>
          <w:kern w:val="24"/>
        </w:rPr>
        <w:t xml:space="preserve">.  </w:t>
      </w:r>
      <w:r w:rsidR="00CD377B">
        <w:rPr>
          <w:rFonts w:eastAsiaTheme="minorEastAsia" w:hAnsi="Calibri"/>
          <w:color w:val="000000" w:themeColor="text1"/>
          <w:kern w:val="24"/>
        </w:rPr>
        <w:t xml:space="preserve">This </w:t>
      </w:r>
      <w:r w:rsidR="00A84311">
        <w:rPr>
          <w:rFonts w:eastAsiaTheme="minorEastAsia" w:hAnsi="Calibri"/>
          <w:color w:val="000000" w:themeColor="text1"/>
          <w:kern w:val="24"/>
        </w:rPr>
        <w:t>is where the microfinance movement started with microenterprise seeing women’s labour as frequently under or unemployed and saw loans as the ability to enable them to contribute</w:t>
      </w:r>
      <w:r w:rsidR="00CD377B">
        <w:rPr>
          <w:rFonts w:eastAsiaTheme="minorEastAsia" w:hAnsi="Calibri"/>
          <w:color w:val="000000" w:themeColor="text1"/>
          <w:kern w:val="24"/>
        </w:rPr>
        <w:t xml:space="preserve">.  </w:t>
      </w:r>
      <w:r w:rsidR="006F779E">
        <w:rPr>
          <w:rFonts w:eastAsiaTheme="minorEastAsia" w:hAnsi="Calibri"/>
          <w:color w:val="000000" w:themeColor="text1"/>
          <w:kern w:val="24"/>
        </w:rPr>
        <w:t>The high presence of women in retail business might also have satisfied her at first, but o</w:t>
      </w:r>
      <w:r w:rsidR="004B76F2">
        <w:rPr>
          <w:rFonts w:eastAsiaTheme="minorEastAsia" w:hAnsi="Calibri"/>
          <w:color w:val="000000" w:themeColor="text1"/>
          <w:kern w:val="24"/>
        </w:rPr>
        <w:t xml:space="preserve">ver time </w:t>
      </w:r>
      <w:r w:rsidR="00CD377B">
        <w:rPr>
          <w:rFonts w:eastAsiaTheme="minorEastAsia" w:hAnsi="Calibri"/>
          <w:color w:val="000000" w:themeColor="text1"/>
          <w:kern w:val="24"/>
        </w:rPr>
        <w:t xml:space="preserve">however </w:t>
      </w:r>
      <w:r>
        <w:t xml:space="preserve">she </w:t>
      </w:r>
      <w:r w:rsidR="000F450A">
        <w:t xml:space="preserve">might </w:t>
      </w:r>
      <w:r w:rsidR="00CD377B">
        <w:t xml:space="preserve">well </w:t>
      </w:r>
      <w:r>
        <w:t>have noted that women tend to be stuck in certain occ</w:t>
      </w:r>
      <w:r w:rsidR="006F779E">
        <w:t xml:space="preserve">upations in the informal sector, especially retail, </w:t>
      </w:r>
      <w:r>
        <w:t>and ask why</w:t>
      </w:r>
      <w:r w:rsidR="00CD1922">
        <w:t>. S</w:t>
      </w:r>
      <w:r>
        <w:t>econd she would also have noted that many of these occupations involved low returns</w:t>
      </w:r>
      <w:r w:rsidR="00D219B5">
        <w:t xml:space="preserve"> </w:t>
      </w:r>
      <w:r w:rsidR="00F837B4">
        <w:t xml:space="preserve">to labour </w:t>
      </w:r>
      <w:r w:rsidR="00D219B5">
        <w:t xml:space="preserve">and </w:t>
      </w:r>
      <w:r w:rsidR="00CD1922">
        <w:t xml:space="preserve">often </w:t>
      </w:r>
      <w:r w:rsidR="00D219B5">
        <w:t>lower returns than those achieved by men in similar sectors</w:t>
      </w:r>
      <w:r>
        <w:t xml:space="preserve">.  Her response would </w:t>
      </w:r>
      <w:r w:rsidR="00D219B5">
        <w:t xml:space="preserve">clearly </w:t>
      </w:r>
      <w:r>
        <w:t xml:space="preserve">have recognised the </w:t>
      </w:r>
      <w:r w:rsidR="00D124C2">
        <w:t>need for education and training as well as the need for social norms to change</w:t>
      </w:r>
      <w:r w:rsidR="00CA3B57">
        <w:t xml:space="preserve"> - as she </w:t>
      </w:r>
      <w:r w:rsidR="006F779E">
        <w:t xml:space="preserve">had </w:t>
      </w:r>
      <w:r w:rsidR="00CA3B57">
        <w:t xml:space="preserve">proposed - </w:t>
      </w:r>
      <w:r w:rsidR="00D124C2">
        <w:t xml:space="preserve">and </w:t>
      </w:r>
      <w:r w:rsidR="00CD377B">
        <w:t xml:space="preserve">women to be </w:t>
      </w:r>
      <w:r w:rsidR="00CD1922">
        <w:t xml:space="preserve">enabled </w:t>
      </w:r>
      <w:r w:rsidR="00CD377B">
        <w:t xml:space="preserve">to enter occupations dominated by </w:t>
      </w:r>
      <w:r w:rsidR="00D124C2">
        <w:t>men.</w:t>
      </w:r>
      <w:r w:rsidR="00AB07B4">
        <w:t xml:space="preserve">  She would not have been happy with an entirely minimalist approach to microfinance, recognising the need for these additional services to address the constraints women face.  Moreover, </w:t>
      </w:r>
      <w:r w:rsidR="001B2247">
        <w:t>f</w:t>
      </w:r>
      <w:r w:rsidR="00AB07B4">
        <w:t xml:space="preserve">eminist </w:t>
      </w:r>
      <w:r w:rsidR="001B2247">
        <w:t>e</w:t>
      </w:r>
      <w:r w:rsidR="00AB07B4">
        <w:t xml:space="preserve">conomists in this field have concluded that programmes need to have the intention of empowering women if they are to achieve that goal, this </w:t>
      </w:r>
      <w:r w:rsidR="008015E3">
        <w:t>particularly involves working to address the social norms that constrain their activity.</w:t>
      </w:r>
      <w:r w:rsidR="006F779E">
        <w:rPr>
          <w:rStyle w:val="EndnoteReference"/>
        </w:rPr>
        <w:endnoteReference w:id="10"/>
      </w:r>
      <w:r w:rsidR="008015E3">
        <w:t xml:space="preserve">  Oxfam’s </w:t>
      </w:r>
      <w:r w:rsidR="008F447F">
        <w:t xml:space="preserve">current </w:t>
      </w:r>
      <w:r w:rsidR="008015E3">
        <w:t xml:space="preserve">WE–CARE programme being a great case in point </w:t>
      </w:r>
      <w:r w:rsidR="00CD1922">
        <w:t xml:space="preserve">its demonstration </w:t>
      </w:r>
      <w:r w:rsidR="008015E3">
        <w:t xml:space="preserve">of the need to </w:t>
      </w:r>
      <w:r w:rsidR="009B1A5E">
        <w:t xml:space="preserve">find ways to </w:t>
      </w:r>
      <w:r w:rsidR="008015E3">
        <w:t>recognise women’s reproductive work</w:t>
      </w:r>
      <w:r w:rsidR="009B1A5E">
        <w:t xml:space="preserve">, even extending this to </w:t>
      </w:r>
      <w:r w:rsidR="008015E3">
        <w:t>the</w:t>
      </w:r>
      <w:r w:rsidR="009B1A5E">
        <w:t xml:space="preserve"> time they are </w:t>
      </w:r>
      <w:bookmarkStart w:id="0" w:name="_GoBack"/>
      <w:r w:rsidR="009B1A5E" w:rsidRPr="00CD1922">
        <w:rPr>
          <w:i/>
        </w:rPr>
        <w:t>responsible</w:t>
      </w:r>
      <w:bookmarkEnd w:id="0"/>
      <w:r w:rsidR="009B1A5E">
        <w:t xml:space="preserve"> </w:t>
      </w:r>
      <w:r w:rsidR="008015E3">
        <w:t>for reproductive work</w:t>
      </w:r>
      <w:r w:rsidR="009B1A5E">
        <w:t xml:space="preserve"> and not just the time they actually spend doing it</w:t>
      </w:r>
      <w:r w:rsidR="008015E3">
        <w:t>.</w:t>
      </w:r>
      <w:r w:rsidR="008F447F">
        <w:rPr>
          <w:rStyle w:val="EndnoteReference"/>
        </w:rPr>
        <w:endnoteReference w:id="11"/>
      </w:r>
      <w:r w:rsidR="008015E3">
        <w:t xml:space="preserve"> </w:t>
      </w:r>
    </w:p>
    <w:p w:rsidR="004B76F2" w:rsidRDefault="003B36B0" w:rsidP="00E467C7">
      <w:r>
        <w:t xml:space="preserve">While </w:t>
      </w:r>
      <w:r w:rsidR="00D64A0C">
        <w:t>h</w:t>
      </w:r>
      <w:r w:rsidR="00EB003B">
        <w:t xml:space="preserve">er approach </w:t>
      </w:r>
      <w:r w:rsidR="003552F7">
        <w:t>centred</w:t>
      </w:r>
      <w:r>
        <w:t xml:space="preserve"> on obligations rather than rights, her call to “enquire into the causes of their deficiency” is a founding question of feminist economics.  Hers was a class-bound analysis </w:t>
      </w:r>
      <w:r>
        <w:lastRenderedPageBreak/>
        <w:t xml:space="preserve">which </w:t>
      </w:r>
      <w:r w:rsidR="00D64A0C">
        <w:t xml:space="preserve">questioned </w:t>
      </w:r>
      <w:r w:rsidR="00EB003B">
        <w:t>some social norms while accepting others.</w:t>
      </w:r>
      <w:r w:rsidR="009C03EE">
        <w:t xml:space="preserve">  </w:t>
      </w:r>
      <w:r w:rsidR="00EB003B">
        <w:t>Th</w:t>
      </w:r>
      <w:r>
        <w:t xml:space="preserve">us while not as radical approach as those promoting women’s rights, she was </w:t>
      </w:r>
      <w:r w:rsidR="003552F7">
        <w:t xml:space="preserve">an early feminist voice </w:t>
      </w:r>
      <w:r>
        <w:t>contributing to discussion of the</w:t>
      </w:r>
      <w:r w:rsidR="009B1A5E">
        <w:t>se</w:t>
      </w:r>
      <w:r>
        <w:t xml:space="preserve"> constrai</w:t>
      </w:r>
      <w:r w:rsidR="003552F7">
        <w:t>n</w:t>
      </w:r>
      <w:r>
        <w:t>ts.</w:t>
      </w:r>
      <w:r w:rsidR="009B1A5E">
        <w:t xml:space="preserve">  </w:t>
      </w:r>
      <w:r w:rsidR="00CA3B57">
        <w:t>Her lament that “</w:t>
      </w:r>
      <w:r w:rsidR="006A0A84">
        <w:t>Time will open the eyes of the public to the advantages of a benefit club for women</w:t>
      </w:r>
      <w:r w:rsidR="009C03EE">
        <w:t xml:space="preserve">.  </w:t>
      </w:r>
      <w:r w:rsidR="006A0A84">
        <w:t xml:space="preserve">How slow is the progress of human reason”!  is </w:t>
      </w:r>
      <w:r w:rsidR="00CA3B57">
        <w:t xml:space="preserve">one </w:t>
      </w:r>
      <w:r w:rsidR="006A0A84">
        <w:t>that contemporary feminist economists would wholly endorse</w:t>
      </w:r>
      <w:r w:rsidR="00CF227E">
        <w:t xml:space="preserve"> </w:t>
      </w:r>
      <w:r w:rsidR="00B0350A">
        <w:t xml:space="preserve">in relation to </w:t>
      </w:r>
      <w:r w:rsidR="00CF227E">
        <w:t xml:space="preserve">many </w:t>
      </w:r>
      <w:r w:rsidR="00E21934">
        <w:t>contemporary concerns</w:t>
      </w:r>
      <w:r w:rsidR="006A0A84">
        <w:t xml:space="preserve">! </w:t>
      </w:r>
    </w:p>
    <w:p w:rsidR="006A0A84" w:rsidRDefault="006A0A84" w:rsidP="00E467C7"/>
    <w:p w:rsidR="006A0A84" w:rsidRDefault="006A0A84" w:rsidP="00E467C7">
      <w:pPr>
        <w:sectPr w:rsidR="006A0A84">
          <w:endnotePr>
            <w:numFmt w:val="decimal"/>
          </w:endnotePr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A0A84" w:rsidRDefault="006A0A84" w:rsidP="00E467C7"/>
    <w:sectPr w:rsidR="006A0A84" w:rsidSect="006A0A84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210" w:rsidRDefault="00FA7210" w:rsidP="00D124C2">
      <w:pPr>
        <w:spacing w:after="0" w:line="240" w:lineRule="auto"/>
      </w:pPr>
      <w:r>
        <w:separator/>
      </w:r>
    </w:p>
  </w:endnote>
  <w:endnote w:type="continuationSeparator" w:id="0">
    <w:p w:rsidR="00FA7210" w:rsidRDefault="00FA7210" w:rsidP="00D124C2">
      <w:pPr>
        <w:spacing w:after="0" w:line="240" w:lineRule="auto"/>
      </w:pPr>
      <w:r>
        <w:continuationSeparator/>
      </w:r>
    </w:p>
  </w:endnote>
  <w:endnote w:id="1">
    <w:p w:rsidR="00E94B93" w:rsidRPr="00A9646E" w:rsidRDefault="00E94B93" w:rsidP="00B24DD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9646E">
        <w:rPr>
          <w:rStyle w:val="EndnoteReference"/>
          <w:rFonts w:cstheme="minorHAnsi"/>
          <w:sz w:val="20"/>
          <w:szCs w:val="20"/>
        </w:rPr>
        <w:endnoteRef/>
      </w:r>
      <w:r w:rsidRPr="00A9646E">
        <w:rPr>
          <w:rFonts w:cstheme="minorHAnsi"/>
          <w:sz w:val="20"/>
          <w:szCs w:val="20"/>
        </w:rPr>
        <w:t xml:space="preserve"> </w:t>
      </w:r>
      <w:r w:rsidR="00B24DD4" w:rsidRPr="00A9646E">
        <w:rPr>
          <w:rFonts w:cstheme="minorHAnsi"/>
          <w:sz w:val="20"/>
          <w:szCs w:val="20"/>
        </w:rPr>
        <w:t xml:space="preserve">See </w:t>
      </w:r>
      <w:hyperlink r:id="rId1" w:history="1">
        <w:r w:rsidR="00B24DD4" w:rsidRPr="00A9646E">
          <w:rPr>
            <w:rStyle w:val="Hyperlink"/>
            <w:rFonts w:cstheme="minorHAnsi"/>
            <w:sz w:val="20"/>
            <w:szCs w:val="20"/>
          </w:rPr>
          <w:t>https://www.cgdev.org/blog/priscilla-wakefield-mother-microsavings-has-her-own-blog</w:t>
        </w:r>
      </w:hyperlink>
      <w:r w:rsidR="00B24DD4" w:rsidRPr="00A9646E">
        <w:rPr>
          <w:rFonts w:cstheme="minorHAnsi"/>
          <w:sz w:val="20"/>
          <w:szCs w:val="20"/>
        </w:rPr>
        <w:t xml:space="preserve"> accessed 8th November, 2018 </w:t>
      </w:r>
    </w:p>
  </w:endnote>
  <w:endnote w:id="2">
    <w:p w:rsidR="000A63E7" w:rsidRPr="00A9646E" w:rsidRDefault="000A63E7" w:rsidP="00B24DD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9646E">
        <w:rPr>
          <w:rStyle w:val="EndnoteReference"/>
          <w:rFonts w:cstheme="minorHAnsi"/>
          <w:sz w:val="20"/>
          <w:szCs w:val="20"/>
        </w:rPr>
        <w:endnoteRef/>
      </w:r>
      <w:r w:rsidRPr="00A9646E">
        <w:rPr>
          <w:rFonts w:cstheme="minorHAnsi"/>
          <w:sz w:val="20"/>
          <w:szCs w:val="20"/>
        </w:rPr>
        <w:t xml:space="preserve"> </w:t>
      </w:r>
      <w:r w:rsidR="00B24DD4" w:rsidRPr="00A9646E">
        <w:rPr>
          <w:rFonts w:cstheme="minorHAnsi"/>
          <w:sz w:val="20"/>
          <w:szCs w:val="20"/>
        </w:rPr>
        <w:t xml:space="preserve">Moss, M., 2011. Henry Duncan and the Savings Bank Movement in the UK </w:t>
      </w:r>
      <w:r w:rsidR="00B24DD4" w:rsidRPr="00A9646E">
        <w:rPr>
          <w:rFonts w:cstheme="minorHAnsi"/>
          <w:i/>
          <w:iCs/>
          <w:sz w:val="20"/>
          <w:szCs w:val="20"/>
        </w:rPr>
        <w:t>200 Years of Savings Banks: A Strong and Lasting Business Model for Responsible Regional Retail Banking.</w:t>
      </w:r>
      <w:r w:rsidR="00B24DD4" w:rsidRPr="00A9646E">
        <w:rPr>
          <w:rFonts w:cstheme="minorHAnsi"/>
          <w:sz w:val="20"/>
          <w:szCs w:val="20"/>
        </w:rPr>
        <w:t xml:space="preserve"> Perspectives 63: WSBI and ESBG.</w:t>
      </w:r>
    </w:p>
  </w:endnote>
  <w:endnote w:id="3">
    <w:p w:rsidR="00F0459C" w:rsidRPr="00A9646E" w:rsidRDefault="00F0459C">
      <w:pPr>
        <w:pStyle w:val="EndnoteText"/>
        <w:rPr>
          <w:rFonts w:cstheme="minorHAnsi"/>
        </w:rPr>
      </w:pPr>
      <w:r w:rsidRPr="00A9646E">
        <w:rPr>
          <w:rStyle w:val="EndnoteReference"/>
          <w:rFonts w:cstheme="minorHAnsi"/>
        </w:rPr>
        <w:endnoteRef/>
      </w:r>
      <w:r w:rsidRPr="00A9646E">
        <w:rPr>
          <w:rFonts w:cstheme="minorHAnsi"/>
        </w:rPr>
        <w:t xml:space="preserve"> For more information see: </w:t>
      </w:r>
      <w:hyperlink r:id="rId2" w:history="1">
        <w:r w:rsidRPr="00A9646E">
          <w:rPr>
            <w:rStyle w:val="Hyperlink"/>
            <w:rFonts w:cstheme="minorHAnsi"/>
          </w:rPr>
          <w:t>https://www.priscillawakefield.uk/</w:t>
        </w:r>
      </w:hyperlink>
      <w:r w:rsidRPr="00A9646E">
        <w:rPr>
          <w:rFonts w:cstheme="minorHAnsi"/>
        </w:rPr>
        <w:t xml:space="preserve"> </w:t>
      </w:r>
    </w:p>
  </w:endnote>
  <w:endnote w:id="4">
    <w:p w:rsidR="00A9646E" w:rsidRDefault="00A9646E" w:rsidP="00A9646E">
      <w:pPr>
        <w:autoSpaceDE w:val="0"/>
        <w:autoSpaceDN w:val="0"/>
        <w:adjustRightInd w:val="0"/>
        <w:spacing w:after="0" w:line="240" w:lineRule="auto"/>
      </w:pPr>
      <w:r>
        <w:rPr>
          <w:rStyle w:val="EndnoteReference"/>
        </w:rPr>
        <w:endnoteRef/>
      </w:r>
      <w:r>
        <w:t xml:space="preserve"> </w:t>
      </w:r>
      <w:r w:rsidR="00AA7F10">
        <w:rPr>
          <w:rFonts w:ascii="Segoe UI" w:hAnsi="Segoe UI" w:cs="Segoe UI"/>
          <w:sz w:val="18"/>
          <w:szCs w:val="18"/>
        </w:rPr>
        <w:t xml:space="preserve">Wakefield, P., 1804. Extract from an account of a female benefit club at Tottenham </w:t>
      </w:r>
      <w:r w:rsidR="00AA7F10">
        <w:rPr>
          <w:rFonts w:ascii="Segoe UI" w:hAnsi="Segoe UI" w:cs="Segoe UI"/>
          <w:i/>
          <w:iCs/>
          <w:sz w:val="18"/>
          <w:szCs w:val="18"/>
        </w:rPr>
        <w:t xml:space="preserve">Reports of the Society for Bettering the Condition and Increasing the Comforts of the Poor Vol.III 1802 No. LXXXIV </w:t>
      </w:r>
      <w:r w:rsidR="00AA7F10">
        <w:rPr>
          <w:rFonts w:ascii="Segoe UI" w:hAnsi="Segoe UI" w:cs="Segoe UI"/>
          <w:sz w:val="18"/>
          <w:szCs w:val="18"/>
        </w:rPr>
        <w:t xml:space="preserve">Available at: </w:t>
      </w:r>
      <w:hyperlink r:id="rId3" w:history="1">
        <w:r w:rsidR="00AA7F10" w:rsidRPr="003F7877">
          <w:rPr>
            <w:rStyle w:val="Hyperlink"/>
            <w:rFonts w:ascii="Segoe UI" w:hAnsi="Segoe UI" w:cs="Segoe UI"/>
            <w:sz w:val="18"/>
            <w:szCs w:val="18"/>
          </w:rPr>
          <w:t>https://archive.org/details/b2197195x_0002/page/n5</w:t>
        </w:r>
      </w:hyperlink>
      <w:r w:rsidR="00AA7F10">
        <w:rPr>
          <w:rFonts w:ascii="Segoe UI" w:hAnsi="Segoe UI" w:cs="Segoe UI"/>
          <w:sz w:val="18"/>
          <w:szCs w:val="18"/>
        </w:rPr>
        <w:t>. Accessed 9</w:t>
      </w:r>
      <w:r w:rsidR="00AA7F10" w:rsidRPr="00AA7F10">
        <w:rPr>
          <w:rFonts w:ascii="Segoe UI" w:hAnsi="Segoe UI" w:cs="Segoe UI"/>
          <w:sz w:val="18"/>
          <w:szCs w:val="18"/>
          <w:vertAlign w:val="superscript"/>
        </w:rPr>
        <w:t>th</w:t>
      </w:r>
      <w:r w:rsidR="00AA7F10">
        <w:rPr>
          <w:rFonts w:ascii="Segoe UI" w:hAnsi="Segoe UI" w:cs="Segoe UI"/>
          <w:sz w:val="18"/>
          <w:szCs w:val="18"/>
        </w:rPr>
        <w:t xml:space="preserve"> November 2018. </w:t>
      </w:r>
    </w:p>
  </w:endnote>
  <w:endnote w:id="5">
    <w:p w:rsidR="005C1E2F" w:rsidRPr="00A9646E" w:rsidRDefault="005C1E2F" w:rsidP="00661BF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9646E">
        <w:rPr>
          <w:rStyle w:val="EndnoteReference"/>
          <w:rFonts w:cstheme="minorHAnsi"/>
          <w:sz w:val="20"/>
          <w:szCs w:val="20"/>
        </w:rPr>
        <w:endnoteRef/>
      </w:r>
      <w:r w:rsidRPr="00A9646E">
        <w:rPr>
          <w:rFonts w:cstheme="minorHAnsi"/>
          <w:sz w:val="20"/>
          <w:szCs w:val="20"/>
        </w:rPr>
        <w:t xml:space="preserve"> See for example: </w:t>
      </w:r>
      <w:proofErr w:type="spellStart"/>
      <w:r w:rsidRPr="00A9646E">
        <w:rPr>
          <w:rFonts w:cstheme="minorHAnsi"/>
          <w:sz w:val="20"/>
          <w:szCs w:val="20"/>
        </w:rPr>
        <w:t>Roodman</w:t>
      </w:r>
      <w:proofErr w:type="spellEnd"/>
      <w:r w:rsidRPr="00A9646E">
        <w:rPr>
          <w:rFonts w:cstheme="minorHAnsi"/>
          <w:sz w:val="20"/>
          <w:szCs w:val="20"/>
        </w:rPr>
        <w:t xml:space="preserve">, D., 2012. </w:t>
      </w:r>
      <w:r w:rsidRPr="00A9646E">
        <w:rPr>
          <w:rFonts w:cstheme="minorHAnsi"/>
          <w:i/>
          <w:iCs/>
          <w:sz w:val="20"/>
          <w:szCs w:val="20"/>
        </w:rPr>
        <w:t>Due Diligence: An Impertinent Inquiry Into Microfinance.</w:t>
      </w:r>
      <w:r w:rsidRPr="00A9646E">
        <w:rPr>
          <w:rFonts w:cstheme="minorHAnsi"/>
          <w:sz w:val="20"/>
          <w:szCs w:val="20"/>
        </w:rPr>
        <w:t xml:space="preserve"> </w:t>
      </w:r>
      <w:proofErr w:type="spellStart"/>
      <w:r w:rsidRPr="00A9646E">
        <w:rPr>
          <w:rFonts w:cstheme="minorHAnsi"/>
          <w:sz w:val="20"/>
          <w:szCs w:val="20"/>
        </w:rPr>
        <w:t>Center</w:t>
      </w:r>
      <w:proofErr w:type="spellEnd"/>
      <w:r w:rsidRPr="00A9646E">
        <w:rPr>
          <w:rFonts w:cstheme="minorHAnsi"/>
          <w:sz w:val="20"/>
          <w:szCs w:val="20"/>
        </w:rPr>
        <w:t xml:space="preserve"> for Global Development; Stone, R., 2011. Two hundred years of savings banks: The wheel turns full circle. </w:t>
      </w:r>
      <w:r w:rsidRPr="00A9646E">
        <w:rPr>
          <w:rFonts w:cstheme="minorHAnsi"/>
          <w:i/>
          <w:iCs/>
          <w:sz w:val="20"/>
          <w:szCs w:val="20"/>
        </w:rPr>
        <w:t>Enterprise Development and Microfinance,</w:t>
      </w:r>
      <w:r w:rsidRPr="00A9646E">
        <w:rPr>
          <w:rFonts w:cstheme="minorHAnsi"/>
          <w:sz w:val="20"/>
          <w:szCs w:val="20"/>
        </w:rPr>
        <w:t xml:space="preserve"> 22(2), pp. 94-107.</w:t>
      </w:r>
    </w:p>
  </w:endnote>
  <w:endnote w:id="6">
    <w:p w:rsidR="00661BF6" w:rsidRPr="00A9646E" w:rsidRDefault="00661BF6" w:rsidP="00FA2A8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9646E">
        <w:rPr>
          <w:rStyle w:val="EndnoteReference"/>
          <w:rFonts w:cstheme="minorHAnsi"/>
          <w:sz w:val="20"/>
          <w:szCs w:val="20"/>
        </w:rPr>
        <w:endnoteRef/>
      </w:r>
      <w:r w:rsidRPr="00A9646E">
        <w:rPr>
          <w:rFonts w:cstheme="minorHAnsi"/>
          <w:sz w:val="20"/>
          <w:szCs w:val="20"/>
        </w:rPr>
        <w:t xml:space="preserve"> </w:t>
      </w:r>
      <w:r w:rsidR="003552F7" w:rsidRPr="00A9646E">
        <w:rPr>
          <w:rFonts w:cstheme="minorHAnsi"/>
          <w:sz w:val="20"/>
          <w:szCs w:val="20"/>
        </w:rPr>
        <w:t>Moss ibid</w:t>
      </w:r>
      <w:proofErr w:type="gramStart"/>
      <w:r w:rsidR="003552F7" w:rsidRPr="00A9646E">
        <w:rPr>
          <w:rFonts w:cstheme="minorHAnsi"/>
          <w:sz w:val="20"/>
          <w:szCs w:val="20"/>
        </w:rPr>
        <w:t>.</w:t>
      </w:r>
      <w:r w:rsidRPr="00A9646E">
        <w:rPr>
          <w:rFonts w:cstheme="minorHAnsi"/>
          <w:sz w:val="20"/>
          <w:szCs w:val="20"/>
        </w:rPr>
        <w:t>.</w:t>
      </w:r>
      <w:proofErr w:type="gramEnd"/>
    </w:p>
  </w:endnote>
  <w:endnote w:id="7">
    <w:p w:rsidR="00FA2A85" w:rsidRPr="00A9646E" w:rsidRDefault="00FA2A85" w:rsidP="003B36B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9646E">
        <w:rPr>
          <w:rStyle w:val="EndnoteReference"/>
          <w:rFonts w:cstheme="minorHAnsi"/>
          <w:sz w:val="20"/>
          <w:szCs w:val="20"/>
        </w:rPr>
        <w:endnoteRef/>
      </w:r>
      <w:r w:rsidRPr="00A9646E">
        <w:rPr>
          <w:rFonts w:cstheme="minorHAnsi"/>
          <w:sz w:val="20"/>
          <w:szCs w:val="20"/>
        </w:rPr>
        <w:t xml:space="preserve"> </w:t>
      </w:r>
      <w:proofErr w:type="spellStart"/>
      <w:r w:rsidRPr="00A9646E">
        <w:rPr>
          <w:rFonts w:cstheme="minorHAnsi"/>
          <w:sz w:val="20"/>
          <w:szCs w:val="20"/>
        </w:rPr>
        <w:t>Dimand</w:t>
      </w:r>
      <w:proofErr w:type="spellEnd"/>
      <w:r w:rsidRPr="00A9646E">
        <w:rPr>
          <w:rFonts w:cstheme="minorHAnsi"/>
          <w:sz w:val="20"/>
          <w:szCs w:val="20"/>
        </w:rPr>
        <w:t xml:space="preserve">, R., 2003. An Eighteenth-Century English Feminist Response to Political Economy: Priscilla Wakefield's </w:t>
      </w:r>
      <w:r w:rsidRPr="00A9646E">
        <w:rPr>
          <w:rFonts w:cstheme="minorHAnsi"/>
          <w:i/>
          <w:iCs/>
          <w:sz w:val="20"/>
          <w:szCs w:val="20"/>
        </w:rPr>
        <w:t>Reflections</w:t>
      </w:r>
      <w:r w:rsidRPr="00A9646E">
        <w:rPr>
          <w:rFonts w:cstheme="minorHAnsi"/>
          <w:sz w:val="20"/>
          <w:szCs w:val="20"/>
        </w:rPr>
        <w:t xml:space="preserve"> (1798). In: C. </w:t>
      </w:r>
      <w:proofErr w:type="spellStart"/>
      <w:r w:rsidRPr="00A9646E">
        <w:rPr>
          <w:rFonts w:cstheme="minorHAnsi"/>
          <w:sz w:val="20"/>
          <w:szCs w:val="20"/>
        </w:rPr>
        <w:t>Nyland</w:t>
      </w:r>
      <w:proofErr w:type="spellEnd"/>
      <w:r w:rsidRPr="00A9646E">
        <w:rPr>
          <w:rFonts w:cstheme="minorHAnsi"/>
          <w:sz w:val="20"/>
          <w:szCs w:val="20"/>
        </w:rPr>
        <w:t xml:space="preserve"> &amp; R.W. </w:t>
      </w:r>
      <w:proofErr w:type="spellStart"/>
      <w:r w:rsidRPr="00A9646E">
        <w:rPr>
          <w:rFonts w:cstheme="minorHAnsi"/>
          <w:sz w:val="20"/>
          <w:szCs w:val="20"/>
        </w:rPr>
        <w:t>Dimand</w:t>
      </w:r>
      <w:proofErr w:type="spellEnd"/>
      <w:r w:rsidRPr="00A9646E">
        <w:rPr>
          <w:rFonts w:cstheme="minorHAnsi"/>
          <w:sz w:val="20"/>
          <w:szCs w:val="20"/>
        </w:rPr>
        <w:t xml:space="preserve">, eds. </w:t>
      </w:r>
      <w:r w:rsidRPr="00A9646E">
        <w:rPr>
          <w:rFonts w:cstheme="minorHAnsi"/>
          <w:i/>
          <w:iCs/>
          <w:sz w:val="20"/>
          <w:szCs w:val="20"/>
        </w:rPr>
        <w:t>The status of women in classical economic thought.</w:t>
      </w:r>
      <w:r w:rsidRPr="00A9646E">
        <w:rPr>
          <w:rFonts w:cstheme="minorHAnsi"/>
          <w:sz w:val="20"/>
          <w:szCs w:val="20"/>
        </w:rPr>
        <w:t xml:space="preserve"> Cheltenham: Edward Elgar.</w:t>
      </w:r>
    </w:p>
  </w:endnote>
  <w:endnote w:id="8">
    <w:p w:rsidR="003B36B0" w:rsidRPr="00A9646E" w:rsidRDefault="003B36B0" w:rsidP="003552F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9646E">
        <w:rPr>
          <w:rStyle w:val="EndnoteReference"/>
          <w:rFonts w:cstheme="minorHAnsi"/>
          <w:sz w:val="20"/>
          <w:szCs w:val="20"/>
        </w:rPr>
        <w:endnoteRef/>
      </w:r>
      <w:r w:rsidRPr="00A9646E">
        <w:rPr>
          <w:rFonts w:cstheme="minorHAnsi"/>
          <w:sz w:val="20"/>
          <w:szCs w:val="20"/>
        </w:rPr>
        <w:t xml:space="preserve"> </w:t>
      </w:r>
      <w:proofErr w:type="spellStart"/>
      <w:r w:rsidR="003552F7" w:rsidRPr="00A9646E">
        <w:rPr>
          <w:rFonts w:cstheme="minorHAnsi"/>
          <w:sz w:val="20"/>
          <w:szCs w:val="20"/>
        </w:rPr>
        <w:t>Dimand</w:t>
      </w:r>
      <w:proofErr w:type="spellEnd"/>
      <w:r w:rsidR="003552F7" w:rsidRPr="00A9646E">
        <w:rPr>
          <w:rFonts w:cstheme="minorHAnsi"/>
          <w:sz w:val="20"/>
          <w:szCs w:val="20"/>
        </w:rPr>
        <w:t xml:space="preserve"> ibid. p</w:t>
      </w:r>
      <w:r w:rsidR="009F2478" w:rsidRPr="00A9646E">
        <w:rPr>
          <w:rFonts w:cstheme="minorHAnsi"/>
          <w:sz w:val="20"/>
          <w:szCs w:val="20"/>
        </w:rPr>
        <w:t>. 196</w:t>
      </w:r>
    </w:p>
  </w:endnote>
  <w:endnote w:id="9">
    <w:p w:rsidR="003552F7" w:rsidRDefault="003552F7" w:rsidP="006F779E">
      <w:pPr>
        <w:autoSpaceDE w:val="0"/>
        <w:autoSpaceDN w:val="0"/>
        <w:adjustRightInd w:val="0"/>
        <w:spacing w:after="0" w:line="240" w:lineRule="auto"/>
      </w:pPr>
      <w:r w:rsidRPr="00A9646E">
        <w:rPr>
          <w:rStyle w:val="EndnoteReference"/>
          <w:rFonts w:cstheme="minorHAnsi"/>
          <w:sz w:val="20"/>
          <w:szCs w:val="20"/>
        </w:rPr>
        <w:endnoteRef/>
      </w:r>
      <w:r w:rsidRPr="00A9646E">
        <w:rPr>
          <w:rFonts w:cstheme="minorHAnsi"/>
          <w:sz w:val="20"/>
          <w:szCs w:val="20"/>
        </w:rPr>
        <w:t xml:space="preserve"> </w:t>
      </w:r>
      <w:r w:rsidR="006F779E">
        <w:rPr>
          <w:rFonts w:cstheme="minorHAnsi"/>
          <w:sz w:val="20"/>
          <w:szCs w:val="20"/>
        </w:rPr>
        <w:t>Wakefield ibid</w:t>
      </w:r>
    </w:p>
  </w:endnote>
  <w:endnote w:id="10">
    <w:p w:rsidR="006F779E" w:rsidRDefault="006F779E" w:rsidP="008F447F">
      <w:pPr>
        <w:autoSpaceDE w:val="0"/>
        <w:autoSpaceDN w:val="0"/>
        <w:adjustRightInd w:val="0"/>
        <w:spacing w:after="0" w:line="240" w:lineRule="auto"/>
      </w:pPr>
      <w:r>
        <w:rPr>
          <w:rStyle w:val="EndnoteReference"/>
        </w:rPr>
        <w:endnoteRef/>
      </w:r>
      <w:r>
        <w:t xml:space="preserve"> </w:t>
      </w:r>
      <w:proofErr w:type="spellStart"/>
      <w:r w:rsidR="00C46977">
        <w:rPr>
          <w:rFonts w:ascii="Segoe UI" w:hAnsi="Segoe UI" w:cs="Segoe UI"/>
          <w:sz w:val="18"/>
          <w:szCs w:val="18"/>
        </w:rPr>
        <w:t>Kabeer</w:t>
      </w:r>
      <w:proofErr w:type="spellEnd"/>
      <w:r w:rsidR="00C46977">
        <w:rPr>
          <w:rFonts w:ascii="Segoe UI" w:hAnsi="Segoe UI" w:cs="Segoe UI"/>
          <w:sz w:val="18"/>
          <w:szCs w:val="18"/>
        </w:rPr>
        <w:t xml:space="preserve">, N. &amp; </w:t>
      </w:r>
      <w:proofErr w:type="spellStart"/>
      <w:r w:rsidR="00C46977">
        <w:rPr>
          <w:rFonts w:ascii="Segoe UI" w:hAnsi="Segoe UI" w:cs="Segoe UI"/>
          <w:sz w:val="18"/>
          <w:szCs w:val="18"/>
        </w:rPr>
        <w:t>Subrahmanian</w:t>
      </w:r>
      <w:proofErr w:type="spellEnd"/>
      <w:r w:rsidR="00C46977">
        <w:rPr>
          <w:rFonts w:ascii="Segoe UI" w:hAnsi="Segoe UI" w:cs="Segoe UI"/>
          <w:sz w:val="18"/>
          <w:szCs w:val="18"/>
        </w:rPr>
        <w:t xml:space="preserve">, R., 1999. </w:t>
      </w:r>
      <w:r w:rsidR="00C46977">
        <w:rPr>
          <w:rFonts w:ascii="Segoe UI" w:hAnsi="Segoe UI" w:cs="Segoe UI"/>
          <w:i/>
          <w:iCs/>
          <w:sz w:val="18"/>
          <w:szCs w:val="18"/>
        </w:rPr>
        <w:t>Institutions, Relations and Outcomes: A Framework and Case Studies for Gender Aware Planning.</w:t>
      </w:r>
      <w:r w:rsidR="00C46977">
        <w:rPr>
          <w:rFonts w:ascii="Segoe UI" w:hAnsi="Segoe UI" w:cs="Segoe UI"/>
          <w:sz w:val="18"/>
          <w:szCs w:val="18"/>
        </w:rPr>
        <w:t xml:space="preserve"> Delhi: Kali for Women.</w:t>
      </w:r>
    </w:p>
  </w:endnote>
  <w:endnote w:id="11">
    <w:p w:rsidR="008F447F" w:rsidRDefault="008F447F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4" w:history="1">
        <w:r w:rsidR="00574BA7" w:rsidRPr="00170434">
          <w:rPr>
            <w:rStyle w:val="Hyperlink"/>
          </w:rPr>
          <w:t>http://wee.oxfam.org/we-care accessed 9th November 2018</w:t>
        </w:r>
      </w:hyperlink>
    </w:p>
    <w:p w:rsidR="00574BA7" w:rsidRDefault="00574BA7">
      <w:pPr>
        <w:pStyle w:val="EndnoteText"/>
      </w:pPr>
    </w:p>
    <w:p w:rsidR="00574BA7" w:rsidRDefault="00574BA7">
      <w:pPr>
        <w:pStyle w:val="EndnoteText"/>
      </w:pPr>
    </w:p>
    <w:p w:rsidR="00574BA7" w:rsidRDefault="00574BA7">
      <w:pPr>
        <w:pStyle w:val="EndnoteText"/>
      </w:pPr>
    </w:p>
    <w:p w:rsidR="00574BA7" w:rsidRDefault="00574BA7">
      <w:pPr>
        <w:pStyle w:val="EndnoteText"/>
      </w:pPr>
    </w:p>
    <w:p w:rsidR="00574BA7" w:rsidRDefault="00574BA7" w:rsidP="00574BA7">
      <w:pPr>
        <w:pStyle w:val="EndnoteText"/>
      </w:pPr>
      <w:proofErr w:type="spellStart"/>
      <w:r>
        <w:t>DevLog@Bath</w:t>
      </w:r>
      <w:proofErr w:type="spellEnd"/>
    </w:p>
    <w:p w:rsidR="00574BA7" w:rsidRDefault="00574BA7" w:rsidP="00574BA7">
      <w:pPr>
        <w:pStyle w:val="EndnoteText"/>
      </w:pPr>
      <w:r>
        <w:t>The Centre for Development Studies invites you to join in discussions on International Development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210" w:rsidRDefault="00FA7210" w:rsidP="00D124C2">
      <w:pPr>
        <w:spacing w:after="0" w:line="240" w:lineRule="auto"/>
      </w:pPr>
      <w:r>
        <w:separator/>
      </w:r>
    </w:p>
  </w:footnote>
  <w:footnote w:type="continuationSeparator" w:id="0">
    <w:p w:rsidR="00FA7210" w:rsidRDefault="00FA7210" w:rsidP="00D12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83E1C"/>
    <w:multiLevelType w:val="hybridMultilevel"/>
    <w:tmpl w:val="D3AE7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0B7A94"/>
    <w:multiLevelType w:val="hybridMultilevel"/>
    <w:tmpl w:val="CBD2A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/>
  <w:rsids>
    <w:rsidRoot w:val="008C5E20"/>
    <w:rsid w:val="00066B1E"/>
    <w:rsid w:val="00073509"/>
    <w:rsid w:val="00084790"/>
    <w:rsid w:val="000A63E7"/>
    <w:rsid w:val="000B0391"/>
    <w:rsid w:val="000C42DE"/>
    <w:rsid w:val="000F450A"/>
    <w:rsid w:val="001B2247"/>
    <w:rsid w:val="001E09EA"/>
    <w:rsid w:val="001E32B0"/>
    <w:rsid w:val="002160B7"/>
    <w:rsid w:val="00283F46"/>
    <w:rsid w:val="002C66A6"/>
    <w:rsid w:val="002C7237"/>
    <w:rsid w:val="002D0E6A"/>
    <w:rsid w:val="002D67C8"/>
    <w:rsid w:val="00316D50"/>
    <w:rsid w:val="00341234"/>
    <w:rsid w:val="003552F7"/>
    <w:rsid w:val="0036614E"/>
    <w:rsid w:val="00374EF3"/>
    <w:rsid w:val="00396FD9"/>
    <w:rsid w:val="003B122B"/>
    <w:rsid w:val="003B36B0"/>
    <w:rsid w:val="003D1CAE"/>
    <w:rsid w:val="003E7655"/>
    <w:rsid w:val="0042114C"/>
    <w:rsid w:val="00421A1B"/>
    <w:rsid w:val="0049225A"/>
    <w:rsid w:val="004B76F2"/>
    <w:rsid w:val="004F1D45"/>
    <w:rsid w:val="00537502"/>
    <w:rsid w:val="0054097B"/>
    <w:rsid w:val="005565A3"/>
    <w:rsid w:val="00574BA7"/>
    <w:rsid w:val="005C1E2F"/>
    <w:rsid w:val="005D5945"/>
    <w:rsid w:val="005E18AA"/>
    <w:rsid w:val="00654223"/>
    <w:rsid w:val="00661BF6"/>
    <w:rsid w:val="006A0A84"/>
    <w:rsid w:val="006C3D90"/>
    <w:rsid w:val="006D57E6"/>
    <w:rsid w:val="006F4DB1"/>
    <w:rsid w:val="006F7078"/>
    <w:rsid w:val="006F779E"/>
    <w:rsid w:val="00792F68"/>
    <w:rsid w:val="007A57D9"/>
    <w:rsid w:val="007C5639"/>
    <w:rsid w:val="007F5FB4"/>
    <w:rsid w:val="008015E3"/>
    <w:rsid w:val="00854A7B"/>
    <w:rsid w:val="00854BB8"/>
    <w:rsid w:val="00865FAB"/>
    <w:rsid w:val="008A4049"/>
    <w:rsid w:val="008C5E20"/>
    <w:rsid w:val="008E7075"/>
    <w:rsid w:val="008F447F"/>
    <w:rsid w:val="00903D10"/>
    <w:rsid w:val="00924143"/>
    <w:rsid w:val="00925209"/>
    <w:rsid w:val="00934FD5"/>
    <w:rsid w:val="009633AB"/>
    <w:rsid w:val="009917CE"/>
    <w:rsid w:val="009B128A"/>
    <w:rsid w:val="009B1A5E"/>
    <w:rsid w:val="009B598F"/>
    <w:rsid w:val="009C03EE"/>
    <w:rsid w:val="009F2478"/>
    <w:rsid w:val="00A30E8C"/>
    <w:rsid w:val="00A32F6E"/>
    <w:rsid w:val="00A43C54"/>
    <w:rsid w:val="00A84311"/>
    <w:rsid w:val="00A956FF"/>
    <w:rsid w:val="00A9646E"/>
    <w:rsid w:val="00AA7F10"/>
    <w:rsid w:val="00AB07B4"/>
    <w:rsid w:val="00AB1332"/>
    <w:rsid w:val="00AD2D1A"/>
    <w:rsid w:val="00AE7E25"/>
    <w:rsid w:val="00AF4A95"/>
    <w:rsid w:val="00B0350A"/>
    <w:rsid w:val="00B1465B"/>
    <w:rsid w:val="00B240F6"/>
    <w:rsid w:val="00B24DD4"/>
    <w:rsid w:val="00B267B4"/>
    <w:rsid w:val="00B53D91"/>
    <w:rsid w:val="00B8419C"/>
    <w:rsid w:val="00BB314B"/>
    <w:rsid w:val="00BB3EC0"/>
    <w:rsid w:val="00BB4694"/>
    <w:rsid w:val="00BE1C9C"/>
    <w:rsid w:val="00BF3F90"/>
    <w:rsid w:val="00C0565B"/>
    <w:rsid w:val="00C46977"/>
    <w:rsid w:val="00CA3B57"/>
    <w:rsid w:val="00CD1922"/>
    <w:rsid w:val="00CD377B"/>
    <w:rsid w:val="00CE7212"/>
    <w:rsid w:val="00CF227E"/>
    <w:rsid w:val="00D124C2"/>
    <w:rsid w:val="00D16402"/>
    <w:rsid w:val="00D1707C"/>
    <w:rsid w:val="00D219B5"/>
    <w:rsid w:val="00D64A0C"/>
    <w:rsid w:val="00D70A4B"/>
    <w:rsid w:val="00DB51E7"/>
    <w:rsid w:val="00E10252"/>
    <w:rsid w:val="00E21934"/>
    <w:rsid w:val="00E467C7"/>
    <w:rsid w:val="00E60649"/>
    <w:rsid w:val="00E94B93"/>
    <w:rsid w:val="00E9632A"/>
    <w:rsid w:val="00EB003B"/>
    <w:rsid w:val="00EB1099"/>
    <w:rsid w:val="00EB70FE"/>
    <w:rsid w:val="00EE27E5"/>
    <w:rsid w:val="00EE470C"/>
    <w:rsid w:val="00EF0595"/>
    <w:rsid w:val="00F0459C"/>
    <w:rsid w:val="00F60F70"/>
    <w:rsid w:val="00F65F4D"/>
    <w:rsid w:val="00F837B4"/>
    <w:rsid w:val="00FA2A85"/>
    <w:rsid w:val="00FA7210"/>
    <w:rsid w:val="00FC0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B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40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124C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124C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124C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4C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0459C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C1E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1E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1E2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archive.org/details/b2197195x_0002/page/n5" TargetMode="External"/><Relationship Id="rId2" Type="http://schemas.openxmlformats.org/officeDocument/2006/relationships/hyperlink" Target="https://www.priscillawakefield.uk/" TargetMode="External"/><Relationship Id="rId1" Type="http://schemas.openxmlformats.org/officeDocument/2006/relationships/hyperlink" Target="https://www.cgdev.org/blog/priscilla-wakefield-mother-microsavings-has-her-own-blog" TargetMode="External"/><Relationship Id="rId4" Type="http://schemas.openxmlformats.org/officeDocument/2006/relationships/hyperlink" Target="http://wee.oxfam.org/we-care%20accessed%209th%20November%202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9B037-2FFB-4C5A-B4FA-09EEB88B2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2813</TotalTime>
  <Pages>3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hsssaj</dc:creator>
  <cp:keywords/>
  <dc:description/>
  <cp:lastModifiedBy>Noel</cp:lastModifiedBy>
  <cp:revision>95</cp:revision>
  <cp:lastPrinted>2018-10-23T11:22:00Z</cp:lastPrinted>
  <dcterms:created xsi:type="dcterms:W3CDTF">2018-10-22T20:54:00Z</dcterms:created>
  <dcterms:modified xsi:type="dcterms:W3CDTF">2018-12-31T18:49:00Z</dcterms:modified>
</cp:coreProperties>
</file>